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3330"/>
        <w:gridCol w:w="4050"/>
        <w:gridCol w:w="3420"/>
      </w:tblGrid>
      <w:tr w:rsidR="00F75982">
        <w:trPr>
          <w:cantSplit/>
        </w:trPr>
        <w:tc>
          <w:tcPr>
            <w:tcW w:w="3600" w:type="dxa"/>
            <w:tcBorders>
              <w:top w:val="double" w:sz="8" w:space="0" w:color="000000"/>
            </w:tcBorders>
            <w:shd w:val="pct10" w:color="000000" w:fill="auto"/>
            <w:tcMar>
              <w:top w:w="120" w:type="dxa"/>
              <w:left w:w="115" w:type="dxa"/>
              <w:bottom w:w="58" w:type="dxa"/>
              <w:right w:w="86" w:type="dxa"/>
            </w:tcMar>
          </w:tcPr>
          <w:bookmarkStart w:id="0" w:name="_GoBack"/>
          <w:bookmarkEnd w:id="0"/>
          <w:p w:rsidR="00F75982" w:rsidRDefault="00F75982">
            <w:pPr>
              <w:widowControl w:val="0"/>
              <w:spacing w:after="60"/>
              <w:jc w:val="center"/>
              <w:rPr>
                <w:color w:val="000000"/>
                <w:sz w:val="29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SEQ CHAPTER \h \r 1</w:instrText>
            </w:r>
            <w:r>
              <w:rPr>
                <w:b/>
              </w:rPr>
              <w:fldChar w:fldCharType="end"/>
            </w:r>
            <w:r>
              <w:rPr>
                <w:b/>
                <w:color w:val="0000FF"/>
                <w:sz w:val="29"/>
              </w:rPr>
              <w:t>Summarization</w:t>
            </w:r>
          </w:p>
        </w:tc>
        <w:tc>
          <w:tcPr>
            <w:tcW w:w="3330" w:type="dxa"/>
            <w:tcBorders>
              <w:top w:val="double" w:sz="8" w:space="0" w:color="000000"/>
            </w:tcBorders>
            <w:shd w:val="pct10" w:color="000000" w:fill="auto"/>
            <w:tcMar>
              <w:top w:w="120" w:type="dxa"/>
              <w:left w:w="86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jc w:val="center"/>
              <w:rPr>
                <w:color w:val="000000"/>
                <w:sz w:val="29"/>
              </w:rPr>
            </w:pPr>
            <w:r>
              <w:rPr>
                <w:b/>
                <w:color w:val="FF0000"/>
                <w:sz w:val="29"/>
                <w:u w:val="single"/>
              </w:rPr>
              <w:t>Evidence</w:t>
            </w:r>
          </w:p>
        </w:tc>
        <w:tc>
          <w:tcPr>
            <w:tcW w:w="4050" w:type="dxa"/>
            <w:tcBorders>
              <w:top w:val="double" w:sz="8" w:space="0" w:color="000000"/>
            </w:tcBorders>
            <w:shd w:val="pct10" w:color="000000" w:fill="auto"/>
            <w:tcMar>
              <w:top w:w="120" w:type="dxa"/>
              <w:left w:w="86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jc w:val="center"/>
              <w:rPr>
                <w:color w:val="000000"/>
                <w:sz w:val="29"/>
              </w:rPr>
            </w:pPr>
            <w:proofErr w:type="spellStart"/>
            <w:r>
              <w:rPr>
                <w:b/>
                <w:color w:val="0000FF"/>
                <w:sz w:val="29"/>
              </w:rPr>
              <w:t>Summ</w:t>
            </w:r>
            <w:proofErr w:type="spellEnd"/>
            <w:r>
              <w:rPr>
                <w:b/>
                <w:color w:val="000000"/>
                <w:sz w:val="29"/>
              </w:rPr>
              <w:t xml:space="preserve"> + </w:t>
            </w:r>
            <w:r>
              <w:rPr>
                <w:b/>
                <w:color w:val="FF0000"/>
                <w:sz w:val="29"/>
                <w:u w:val="single"/>
              </w:rPr>
              <w:t>Evidence</w:t>
            </w:r>
          </w:p>
        </w:tc>
        <w:tc>
          <w:tcPr>
            <w:tcW w:w="3420" w:type="dxa"/>
            <w:tcBorders>
              <w:top w:val="double" w:sz="8" w:space="0" w:color="000000"/>
            </w:tcBorders>
            <w:shd w:val="pct10" w:color="000000" w:fill="auto"/>
            <w:tcMar>
              <w:top w:w="120" w:type="dxa"/>
              <w:left w:w="115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jc w:val="center"/>
              <w:rPr>
                <w:color w:val="000000"/>
                <w:sz w:val="29"/>
              </w:rPr>
            </w:pPr>
            <w:proofErr w:type="spellStart"/>
            <w:r>
              <w:rPr>
                <w:b/>
                <w:color w:val="0000FF"/>
                <w:sz w:val="29"/>
              </w:rPr>
              <w:t>Summ</w:t>
            </w:r>
            <w:proofErr w:type="spellEnd"/>
            <w:r>
              <w:rPr>
                <w:b/>
                <w:color w:val="000000"/>
                <w:sz w:val="29"/>
              </w:rPr>
              <w:t xml:space="preserve"> + </w:t>
            </w:r>
            <w:proofErr w:type="spellStart"/>
            <w:r>
              <w:rPr>
                <w:b/>
                <w:color w:val="FF0000"/>
                <w:sz w:val="29"/>
                <w:u w:val="single"/>
              </w:rPr>
              <w:t>Evid</w:t>
            </w:r>
            <w:proofErr w:type="spellEnd"/>
            <w:r>
              <w:rPr>
                <w:b/>
                <w:color w:val="000000"/>
                <w:sz w:val="29"/>
              </w:rPr>
              <w:t xml:space="preserve"> + </w:t>
            </w:r>
            <w:r>
              <w:rPr>
                <w:b/>
                <w:i/>
                <w:color w:val="008000"/>
                <w:sz w:val="29"/>
              </w:rPr>
              <w:t>POV</w:t>
            </w:r>
          </w:p>
        </w:tc>
      </w:tr>
      <w:tr w:rsidR="00F75982">
        <w:trPr>
          <w:cantSplit/>
        </w:trPr>
        <w:tc>
          <w:tcPr>
            <w:tcW w:w="3600" w:type="dxa"/>
            <w:tcMar>
              <w:top w:w="120" w:type="dxa"/>
              <w:left w:w="115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color w:val="0000FF"/>
              </w:rPr>
              <w:t>Doc #5 supports Buddhism, Confucianism and Daoism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3330" w:type="dxa"/>
            <w:tcMar>
              <w:top w:w="120" w:type="dxa"/>
              <w:left w:w="86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“In Doc #5 </w:t>
            </w:r>
            <w:proofErr w:type="spellStart"/>
            <w:r>
              <w:rPr>
                <w:color w:val="000000"/>
              </w:rPr>
              <w:t>Zong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</w:t>
            </w:r>
            <w:proofErr w:type="spellEnd"/>
            <w:r>
              <w:rPr>
                <w:color w:val="000000"/>
              </w:rPr>
              <w:t xml:space="preserve"> says, “</w:t>
            </w:r>
            <w:r>
              <w:rPr>
                <w:color w:val="FF0000"/>
                <w:u w:val="single"/>
              </w:rPr>
              <w:t>Confucius, Laozi and the Buddha were perfect sages</w:t>
            </w:r>
            <w:r>
              <w:rPr>
                <w:color w:val="000000"/>
              </w:rPr>
              <w:t>.”</w:t>
            </w:r>
          </w:p>
        </w:tc>
        <w:tc>
          <w:tcPr>
            <w:tcW w:w="4050" w:type="dxa"/>
            <w:tcMar>
              <w:top w:w="120" w:type="dxa"/>
              <w:left w:w="86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“In Doc #5 </w:t>
            </w:r>
            <w:proofErr w:type="spellStart"/>
            <w:r>
              <w:rPr>
                <w:color w:val="000000"/>
              </w:rPr>
              <w:t>Zong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FF"/>
              </w:rPr>
              <w:t>supports Buddhism</w:t>
            </w:r>
            <w:r>
              <w:rPr>
                <w:color w:val="000000"/>
              </w:rPr>
              <w:t xml:space="preserve"> when he says that “</w:t>
            </w:r>
            <w:r>
              <w:rPr>
                <w:color w:val="FF0000"/>
                <w:u w:val="single"/>
              </w:rPr>
              <w:t>all three teachings lead to the creation of an orderly society and for this they must be observed with respect</w:t>
            </w:r>
            <w:r>
              <w:rPr>
                <w:color w:val="000000"/>
              </w:rPr>
              <w:t xml:space="preserve">.” </w:t>
            </w:r>
          </w:p>
        </w:tc>
        <w:tc>
          <w:tcPr>
            <w:tcW w:w="3420" w:type="dxa"/>
            <w:tcMar>
              <w:top w:w="120" w:type="dxa"/>
              <w:left w:w="115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Zong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FF"/>
              </w:rPr>
              <w:t>praised each religion’s founder</w:t>
            </w:r>
            <w:r>
              <w:rPr>
                <w:color w:val="000000"/>
              </w:rPr>
              <w:t xml:space="preserve"> as “</w:t>
            </w:r>
            <w:r>
              <w:rPr>
                <w:color w:val="FF0000"/>
                <w:u w:val="single"/>
              </w:rPr>
              <w:t>perfect sages</w:t>
            </w:r>
            <w:r>
              <w:rPr>
                <w:color w:val="000000"/>
              </w:rPr>
              <w:t xml:space="preserve">” </w:t>
            </w:r>
            <w:r>
              <w:rPr>
                <w:i/>
                <w:color w:val="008000"/>
              </w:rPr>
              <w:t>because he was afraid to anger his Confucian emperor</w:t>
            </w:r>
            <w:r>
              <w:rPr>
                <w:color w:val="000000"/>
              </w:rPr>
              <w:t>. (5)”</w:t>
            </w:r>
          </w:p>
        </w:tc>
      </w:tr>
      <w:tr w:rsidR="00F75982">
        <w:trPr>
          <w:cantSplit/>
        </w:trPr>
        <w:tc>
          <w:tcPr>
            <w:tcW w:w="3600" w:type="dxa"/>
            <w:tcBorders>
              <w:bottom w:val="nil"/>
            </w:tcBorders>
            <w:tcMar>
              <w:top w:w="120" w:type="dxa"/>
              <w:left w:w="115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 Words</w:t>
            </w:r>
          </w:p>
        </w:tc>
        <w:tc>
          <w:tcPr>
            <w:tcW w:w="3330" w:type="dxa"/>
            <w:tcBorders>
              <w:bottom w:val="nil"/>
            </w:tcBorders>
            <w:tcMar>
              <w:top w:w="120" w:type="dxa"/>
              <w:left w:w="86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 Words</w:t>
            </w:r>
          </w:p>
        </w:tc>
        <w:tc>
          <w:tcPr>
            <w:tcW w:w="4050" w:type="dxa"/>
            <w:tcBorders>
              <w:bottom w:val="nil"/>
            </w:tcBorders>
            <w:tcMar>
              <w:top w:w="120" w:type="dxa"/>
              <w:left w:w="86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31 Words</w:t>
            </w:r>
          </w:p>
        </w:tc>
        <w:tc>
          <w:tcPr>
            <w:tcW w:w="3420" w:type="dxa"/>
            <w:tcBorders>
              <w:bottom w:val="nil"/>
            </w:tcBorders>
            <w:tcMar>
              <w:top w:w="120" w:type="dxa"/>
              <w:left w:w="115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19 Words</w:t>
            </w:r>
          </w:p>
        </w:tc>
      </w:tr>
      <w:tr w:rsidR="00F75982">
        <w:trPr>
          <w:cantSplit/>
        </w:trPr>
        <w:tc>
          <w:tcPr>
            <w:tcW w:w="3600" w:type="dxa"/>
            <w:tcBorders>
              <w:bottom w:val="nil"/>
            </w:tcBorders>
            <w:tcMar>
              <w:top w:w="120" w:type="dxa"/>
              <w:left w:w="115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b/>
                <w:color w:val="000000"/>
              </w:rPr>
              <w:t>Acknowledges Existence</w:t>
            </w:r>
            <w:r>
              <w:rPr>
                <w:color w:val="000000"/>
              </w:rPr>
              <w:t xml:space="preserve"> of Doc #5 (by simply mentioning it in the essay) and </w:t>
            </w:r>
            <w:r>
              <w:rPr>
                <w:b/>
                <w:color w:val="000000"/>
              </w:rPr>
              <w:t>Understands the Doc’s Meaning</w:t>
            </w:r>
            <w:r>
              <w:rPr>
                <w:color w:val="000000"/>
              </w:rPr>
              <w:t>, as “</w:t>
            </w:r>
            <w:r>
              <w:rPr>
                <w:color w:val="0000FF"/>
              </w:rPr>
              <w:t>supports Buddhism</w:t>
            </w:r>
            <w:r>
              <w:rPr>
                <w:color w:val="000000"/>
              </w:rPr>
              <w:t>.”</w:t>
            </w:r>
          </w:p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>Total Rubric Credits Earned, = Rubric Category #2: Addresses &amp; Understands Doc #5.</w:t>
            </w:r>
          </w:p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>Along with 5 more sentences like this for the other 5 docs, the essay would earn 1 point.</w:t>
            </w:r>
          </w:p>
        </w:tc>
        <w:tc>
          <w:tcPr>
            <w:tcW w:w="3330" w:type="dxa"/>
            <w:tcBorders>
              <w:bottom w:val="nil"/>
            </w:tcBorders>
            <w:tcMar>
              <w:top w:w="120" w:type="dxa"/>
              <w:left w:w="86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b/>
                <w:color w:val="000000"/>
              </w:rPr>
              <w:t>Acknowledges Existence</w:t>
            </w:r>
            <w:r>
              <w:rPr>
                <w:color w:val="000000"/>
              </w:rPr>
              <w:t xml:space="preserve"> of Doc #5 but does NOT demonstrate that the writer </w:t>
            </w:r>
            <w:r>
              <w:rPr>
                <w:b/>
                <w:color w:val="000000"/>
              </w:rPr>
              <w:t>Understands the Doc’s Meaning</w:t>
            </w:r>
            <w:r>
              <w:rPr>
                <w:color w:val="000000"/>
              </w:rPr>
              <w:t xml:space="preserve">, because it </w:t>
            </w:r>
            <w:r>
              <w:rPr>
                <w:color w:val="000000"/>
                <w:u w:val="single"/>
              </w:rPr>
              <w:t>merely quoted</w:t>
            </w:r>
            <w:r>
              <w:rPr>
                <w:color w:val="000000"/>
              </w:rPr>
              <w:t xml:space="preserve"> the Doc w/o any further comment.</w:t>
            </w:r>
          </w:p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Also does NOT earn credit for </w:t>
            </w:r>
            <w:r>
              <w:rPr>
                <w:b/>
                <w:color w:val="000000"/>
              </w:rPr>
              <w:t>Using Evidence</w:t>
            </w:r>
            <w:r>
              <w:rPr>
                <w:color w:val="000000"/>
              </w:rPr>
              <w:t xml:space="preserve">, because the “Evidence” isn’t </w:t>
            </w:r>
            <w:r>
              <w:rPr>
                <w:color w:val="000000"/>
                <w:u w:val="single"/>
              </w:rPr>
              <w:t>used</w:t>
            </w:r>
            <w:r>
              <w:rPr>
                <w:color w:val="000000"/>
              </w:rPr>
              <w:t xml:space="preserve"> to support an argument. (The evidence doesn’t </w:t>
            </w:r>
            <w:r>
              <w:rPr>
                <w:color w:val="000000"/>
                <w:u w:val="single"/>
              </w:rPr>
              <w:t>do</w:t>
            </w:r>
            <w:r>
              <w:rPr>
                <w:color w:val="000000"/>
              </w:rPr>
              <w:t xml:space="preserve"> anything.) </w:t>
            </w:r>
          </w:p>
        </w:tc>
        <w:tc>
          <w:tcPr>
            <w:tcW w:w="4050" w:type="dxa"/>
            <w:tcBorders>
              <w:bottom w:val="nil"/>
            </w:tcBorders>
            <w:tcMar>
              <w:top w:w="120" w:type="dxa"/>
              <w:left w:w="86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b/>
                <w:color w:val="000000"/>
              </w:rPr>
              <w:t>Acknowledges Existence</w:t>
            </w:r>
            <w:r>
              <w:rPr>
                <w:color w:val="000000"/>
              </w:rPr>
              <w:t xml:space="preserve"> of Doc #5, also </w:t>
            </w:r>
            <w:r>
              <w:rPr>
                <w:b/>
                <w:color w:val="000000"/>
              </w:rPr>
              <w:t>Demonstrates Understanding</w:t>
            </w:r>
            <w:r>
              <w:rPr>
                <w:color w:val="000000"/>
              </w:rPr>
              <w:t xml:space="preserve"> by characterizing </w:t>
            </w:r>
            <w:proofErr w:type="spellStart"/>
            <w:r>
              <w:rPr>
                <w:color w:val="000000"/>
              </w:rPr>
              <w:t>Zong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</w:t>
            </w:r>
            <w:proofErr w:type="spellEnd"/>
            <w:r>
              <w:rPr>
                <w:color w:val="000000"/>
              </w:rPr>
              <w:t xml:space="preserve"> as “</w:t>
            </w:r>
            <w:r>
              <w:rPr>
                <w:color w:val="0000FF"/>
              </w:rPr>
              <w:t>support[</w:t>
            </w:r>
            <w:proofErr w:type="spellStart"/>
            <w:r>
              <w:rPr>
                <w:color w:val="0000FF"/>
              </w:rPr>
              <w:t>ing</w:t>
            </w:r>
            <w:proofErr w:type="spellEnd"/>
            <w:r>
              <w:rPr>
                <w:color w:val="0000FF"/>
              </w:rPr>
              <w:t>] Buddhism</w:t>
            </w:r>
            <w:r>
              <w:rPr>
                <w:color w:val="000000"/>
              </w:rPr>
              <w:t xml:space="preserve">.” Uses </w:t>
            </w:r>
            <w:r>
              <w:rPr>
                <w:b/>
                <w:color w:val="000000"/>
              </w:rPr>
              <w:t>Evidence</w:t>
            </w:r>
            <w:r>
              <w:rPr>
                <w:color w:val="000000"/>
              </w:rPr>
              <w:t xml:space="preserve"> as an example of how </w:t>
            </w:r>
            <w:proofErr w:type="spellStart"/>
            <w:r>
              <w:rPr>
                <w:color w:val="000000"/>
              </w:rPr>
              <w:t>Zong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</w:t>
            </w:r>
            <w:proofErr w:type="spellEnd"/>
            <w:r>
              <w:rPr>
                <w:color w:val="000000"/>
              </w:rPr>
              <w:t xml:space="preserve"> supports Buddhism, but </w:t>
            </w:r>
            <w:r>
              <w:rPr>
                <w:color w:val="000000"/>
                <w:u w:val="single"/>
              </w:rPr>
              <w:t>quotes far too much</w:t>
            </w:r>
            <w:r>
              <w:rPr>
                <w:color w:val="000000"/>
              </w:rPr>
              <w:t xml:space="preserve"> of the Doc. (20 words)</w:t>
            </w:r>
          </w:p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Unfortunately this is a common example of student writing. It’s not “wrong” per se, but it spends </w:t>
            </w:r>
            <w:r>
              <w:rPr>
                <w:color w:val="000000"/>
                <w:u w:val="single"/>
              </w:rPr>
              <w:t>31 words</w:t>
            </w:r>
            <w:r>
              <w:rPr>
                <w:color w:val="000000"/>
              </w:rPr>
              <w:t xml:space="preserve"> to earn very little credit toward Rubric points.</w:t>
            </w:r>
          </w:p>
        </w:tc>
        <w:tc>
          <w:tcPr>
            <w:tcW w:w="3420" w:type="dxa"/>
            <w:vMerge w:val="restart"/>
            <w:tcBorders>
              <w:bottom w:val="nil"/>
            </w:tcBorders>
            <w:tcMar>
              <w:top w:w="120" w:type="dxa"/>
              <w:left w:w="115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This sentence </w:t>
            </w:r>
            <w:r>
              <w:rPr>
                <w:color w:val="000000"/>
                <w:u w:val="single"/>
              </w:rPr>
              <w:t>simultaneously</w:t>
            </w:r>
            <w:r>
              <w:rPr>
                <w:color w:val="000000"/>
              </w:rPr>
              <w:t xml:space="preserve"> earns credit toward three rubric categories:</w:t>
            </w:r>
          </w:p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b/>
                <w:color w:val="000000"/>
              </w:rPr>
              <w:t>POV</w:t>
            </w:r>
            <w:r>
              <w:rPr>
                <w:color w:val="000000"/>
              </w:rPr>
              <w:t xml:space="preserve"> = author’s </w:t>
            </w:r>
            <w:r>
              <w:rPr>
                <w:i/>
                <w:color w:val="008000"/>
              </w:rPr>
              <w:t>motive</w:t>
            </w:r>
            <w:r>
              <w:rPr>
                <w:color w:val="000000"/>
              </w:rPr>
              <w:t xml:space="preserve"> (“</w:t>
            </w:r>
            <w:r>
              <w:rPr>
                <w:i/>
                <w:color w:val="008000"/>
              </w:rPr>
              <w:t>because</w:t>
            </w:r>
            <w:r>
              <w:rPr>
                <w:color w:val="000000"/>
              </w:rPr>
              <w:t>”);</w:t>
            </w:r>
          </w:p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Evid</w:t>
            </w:r>
            <w:proofErr w:type="spellEnd"/>
            <w:r>
              <w:rPr>
                <w:color w:val="000000"/>
              </w:rPr>
              <w:t xml:space="preserve"> = the phrase “</w:t>
            </w:r>
            <w:r>
              <w:rPr>
                <w:color w:val="FF0000"/>
                <w:u w:val="single"/>
              </w:rPr>
              <w:t>perfect sages</w:t>
            </w:r>
            <w:r>
              <w:rPr>
                <w:color w:val="000000"/>
              </w:rPr>
              <w:t>”;</w:t>
            </w:r>
          </w:p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Understanding </w:t>
            </w:r>
            <w:r>
              <w:rPr>
                <w:color w:val="000000"/>
              </w:rPr>
              <w:t>= “</w:t>
            </w:r>
            <w:r>
              <w:rPr>
                <w:color w:val="0000FF"/>
              </w:rPr>
              <w:t>praised each religion’s founder</w:t>
            </w:r>
            <w:r>
              <w:rPr>
                <w:color w:val="000000"/>
              </w:rPr>
              <w:t xml:space="preserve">” = a response to the spread of Buddhism; </w:t>
            </w:r>
            <w:r>
              <w:rPr>
                <w:b/>
                <w:color w:val="000000"/>
              </w:rPr>
              <w:t>Acknowledging Existence</w:t>
            </w:r>
            <w:r>
              <w:rPr>
                <w:color w:val="000000"/>
              </w:rPr>
              <w:t xml:space="preserve"> = simply mentioning the doc/author or any text from the Doc. All this in only </w:t>
            </w:r>
            <w:r>
              <w:rPr>
                <w:color w:val="000000"/>
                <w:u w:val="single"/>
              </w:rPr>
              <w:t>19 words</w:t>
            </w:r>
            <w:r>
              <w:rPr>
                <w:color w:val="000000"/>
              </w:rPr>
              <w:t>!</w:t>
            </w:r>
          </w:p>
        </w:tc>
      </w:tr>
      <w:tr w:rsidR="00F75982">
        <w:trPr>
          <w:cantSplit/>
          <w:trHeight w:hRule="exact" w:val="1152"/>
        </w:trPr>
        <w:tc>
          <w:tcPr>
            <w:tcW w:w="10980" w:type="dxa"/>
            <w:gridSpan w:val="3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Note how these examples begin “Doc # …” or “In doc # …?” Their topic is “the doc” rather than a “response to the spread of </w:t>
            </w:r>
            <w:proofErr w:type="gramStart"/>
            <w:r>
              <w:rPr>
                <w:color w:val="000000"/>
              </w:rPr>
              <w:t>Buddhism.,</w:t>
            </w:r>
            <w:proofErr w:type="gramEnd"/>
            <w:r>
              <w:rPr>
                <w:color w:val="000000"/>
              </w:rPr>
              <w:t xml:space="preserve">” which means it </w:t>
            </w:r>
            <w:r>
              <w:rPr>
                <w:b/>
                <w:color w:val="000000"/>
              </w:rPr>
              <w:t>doesn’t answer the question!</w:t>
            </w:r>
            <w:r>
              <w:rPr>
                <w:color w:val="000000"/>
              </w:rPr>
              <w:t xml:space="preserve"> It’s an inefficient use of time &amp; effort, leaving students with little to show for their trouble.</w:t>
            </w:r>
          </w:p>
        </w:tc>
        <w:tc>
          <w:tcPr>
            <w:tcW w:w="3420" w:type="dxa"/>
            <w:vMerge/>
            <w:tcBorders>
              <w:bottom w:val="double" w:sz="8" w:space="0" w:color="000000"/>
            </w:tcBorders>
            <w:tcMar>
              <w:top w:w="120" w:type="dxa"/>
              <w:left w:w="115" w:type="dxa"/>
              <w:bottom w:w="58" w:type="dxa"/>
              <w:right w:w="86" w:type="dxa"/>
            </w:tcMar>
          </w:tcPr>
          <w:p w:rsidR="00F75982" w:rsidRDefault="00F75982">
            <w:pPr>
              <w:widowControl w:val="0"/>
              <w:spacing w:after="60"/>
              <w:rPr>
                <w:color w:val="000000"/>
              </w:rPr>
            </w:pPr>
          </w:p>
        </w:tc>
      </w:tr>
    </w:tbl>
    <w:p w:rsidR="00F75982" w:rsidRDefault="00F75982">
      <w:pPr>
        <w:widowControl w:val="0"/>
        <w:spacing w:after="60"/>
      </w:pPr>
    </w:p>
    <w:sectPr w:rsidR="00F75982" w:rsidSect="00F75982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200" w:right="720" w:bottom="12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82" w:rsidRDefault="00F75982">
      <w:r>
        <w:separator/>
      </w:r>
    </w:p>
  </w:endnote>
  <w:endnote w:type="continuationSeparator" w:id="0">
    <w:p w:rsidR="00F75982" w:rsidRDefault="00F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82" w:rsidRDefault="00F75982">
    <w:pPr>
      <w:widowControl w:val="0"/>
      <w:tabs>
        <w:tab w:val="right" w:pos="14400"/>
      </w:tabs>
    </w:pPr>
    <w:r>
      <w:rPr>
        <w:sz w:val="19"/>
      </w:rPr>
      <w:t>Bill Strickland</w:t>
    </w:r>
    <w:r>
      <w:rPr>
        <w:sz w:val="19"/>
      </w:rPr>
      <w:tab/>
      <w:t>East Grand Rapids HS, 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82" w:rsidRDefault="00F75982">
    <w:pPr>
      <w:widowControl w:val="0"/>
      <w:tabs>
        <w:tab w:val="right" w:pos="14400"/>
      </w:tabs>
      <w:spacing w:line="240" w:lineRule="atLeast"/>
    </w:pPr>
    <w:r>
      <w:rPr>
        <w:sz w:val="19"/>
      </w:rPr>
      <w:t>Bill Strickland</w:t>
    </w:r>
    <w:r>
      <w:rPr>
        <w:sz w:val="19"/>
      </w:rPr>
      <w:tab/>
      <w:t>East Grand Rapids HS, 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82" w:rsidRDefault="00F75982">
      <w:r>
        <w:separator/>
      </w:r>
    </w:p>
  </w:footnote>
  <w:footnote w:type="continuationSeparator" w:id="0">
    <w:p w:rsidR="00F75982" w:rsidRDefault="00F7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82" w:rsidRDefault="00F75982">
    <w:pPr>
      <w:widowControl w:val="0"/>
      <w:pBdr>
        <w:top w:val="single" w:sz="8" w:space="0" w:color="000000" w:shadow="1"/>
        <w:left w:val="single" w:sz="8" w:space="0" w:color="000000" w:shadow="1"/>
        <w:bottom w:val="single" w:sz="8" w:space="0" w:color="000000" w:shadow="1"/>
        <w:right w:val="single" w:sz="8" w:space="0" w:color="000000" w:shadow="1"/>
      </w:pBdr>
      <w:spacing w:line="240" w:lineRule="atLeast"/>
      <w:jc w:val="center"/>
    </w:pPr>
    <w:r>
      <w:rPr>
        <w:b/>
        <w:sz w:val="29"/>
      </w:rPr>
      <w:t>“Power Writing” Examples for past AP World History DBQs</w:t>
    </w:r>
  </w:p>
  <w:p w:rsidR="00F75982" w:rsidRDefault="00F75982">
    <w:pPr>
      <w:widowControl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82" w:rsidRDefault="00F75982">
    <w:pPr>
      <w:widowControl w:val="0"/>
      <w:pBdr>
        <w:top w:val="single" w:sz="8" w:space="0" w:color="000000" w:shadow="1"/>
        <w:left w:val="single" w:sz="8" w:space="0" w:color="000000" w:shadow="1"/>
        <w:bottom w:val="single" w:sz="8" w:space="0" w:color="000000" w:shadow="1"/>
        <w:right w:val="single" w:sz="8" w:space="0" w:color="000000" w:shadow="1"/>
      </w:pBdr>
      <w:spacing w:line="240" w:lineRule="atLeast"/>
      <w:jc w:val="center"/>
    </w:pPr>
    <w:r>
      <w:rPr>
        <w:b/>
        <w:sz w:val="29"/>
      </w:rPr>
      <w:t>“Power Writing” Examples for past AP World History DBQs</w:t>
    </w:r>
  </w:p>
  <w:p w:rsidR="00F75982" w:rsidRDefault="00F75982">
    <w:pPr>
      <w:widowControl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82"/>
    <w:rsid w:val="00265B62"/>
    <w:rsid w:val="00F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231B61-43CC-467A-92EE-0DD9A9D3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cp:lastModifiedBy>CROSSEN, ZACHARIAH</cp:lastModifiedBy>
  <cp:revision>2</cp:revision>
  <dcterms:created xsi:type="dcterms:W3CDTF">2015-04-23T17:26:00Z</dcterms:created>
  <dcterms:modified xsi:type="dcterms:W3CDTF">2015-04-23T17:26:00Z</dcterms:modified>
</cp:coreProperties>
</file>